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before="0" w:beforeAutospacing="0" w:after="0" w:afterAutospacing="0" w:line="580" w:lineRule="exact"/>
        <w:jc w:val="left"/>
        <w:rPr>
          <w:rFonts w:ascii="黑体" w:hAnsi="黑体" w:eastAsia="黑体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bCs/>
          <w:kern w:val="0"/>
          <w:sz w:val="32"/>
          <w:szCs w:val="32"/>
          <w:lang w:val="en-US" w:eastAsia="zh-CN" w:bidi="ar-SA"/>
        </w:rPr>
        <w:t>附件2</w:t>
      </w:r>
    </w:p>
    <w:p>
      <w:pPr>
        <w:widowControl w:val="0"/>
        <w:adjustRightInd w:val="0"/>
        <w:snapToGrid w:val="0"/>
        <w:spacing w:before="0" w:beforeAutospacing="0" w:after="0" w:afterAutospacing="0" w:line="580" w:lineRule="exact"/>
        <w:jc w:val="left"/>
        <w:rPr>
          <w:rFonts w:ascii="黑体" w:hAnsi="黑体" w:eastAsia="黑体" w:cs="Times New Roman"/>
          <w:bCs/>
          <w:kern w:val="0"/>
          <w:sz w:val="32"/>
          <w:szCs w:val="32"/>
          <w:lang w:val="en-US" w:eastAsia="zh-CN" w:bidi="ar-SA"/>
        </w:rPr>
      </w:pPr>
    </w:p>
    <w:p>
      <w:pPr>
        <w:spacing w:line="58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</w:rPr>
        <w:t>关于《中国资产评估协会会员信用档案管理办法（征求意见稿）》的修订说明</w:t>
      </w:r>
    </w:p>
    <w:bookmarkEnd w:id="0"/>
    <w:p>
      <w:pPr>
        <w:spacing w:line="580" w:lineRule="exact"/>
        <w:jc w:val="left"/>
        <w:rPr>
          <w:rFonts w:ascii="仿宋_GB2312" w:hAnsi="仿宋_GB2312" w:eastAsia="仿宋_GB2312" w:cs="仿宋_GB2312"/>
          <w:sz w:val="44"/>
          <w:szCs w:val="44"/>
          <w:lang w:val="zh-CN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为落实《中共中央办公厅国务院办公厅关于进一步加强财会监督工作的意见》（以下简称《意见》），进一步完善资产评估行业信用体系，构筑诚实守信的执业环境，提升资产评估行业社会公信力，中国资产评估协会（以下简称中评协）结合行业发展新情况，组织对《中国资产评估协会会员信用档案管理办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（以下简称《办法》）</w:t>
      </w:r>
      <w:r>
        <w:rPr>
          <w:rFonts w:hint="eastAsia" w:ascii="仿宋_GB2312" w:hAnsi="Calibri" w:eastAsia="仿宋_GB2312" w:cs="Times New Roman"/>
          <w:sz w:val="32"/>
          <w:szCs w:val="32"/>
        </w:rPr>
        <w:t>进行了修订，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形成了《</w:t>
      </w:r>
      <w:r>
        <w:rPr>
          <w:rFonts w:hint="eastAsia" w:ascii="仿宋_GB2312" w:hAnsi="Calibri" w:eastAsia="仿宋_GB2312" w:cs="Times New Roman"/>
          <w:sz w:val="32"/>
          <w:szCs w:val="32"/>
        </w:rPr>
        <w:t>中国资产评估协会会员信用档案管理办法（征求意见稿）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》（以下简称《征求意见稿》）。现就有关问题说明如下：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一、修订的必要性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01</w:t>
      </w:r>
      <w:r>
        <w:rPr>
          <w:rFonts w:hint="eastAsia" w:ascii="仿宋_GB2312" w:hAnsi="仿宋_GB2312" w:eastAsia="仿宋_GB2312" w:cs="仿宋_GB2312"/>
          <w:sz w:val="32"/>
          <w:szCs w:val="32"/>
        </w:rPr>
        <w:t>9年修订发布的《办法》对建立资产评估行业信用体系，规范</w:t>
      </w:r>
      <w:r>
        <w:rPr>
          <w:rFonts w:hint="eastAsia" w:ascii="仿宋_GB2312" w:hAnsi="Calibri" w:eastAsia="仿宋_GB2312" w:cs="Times New Roman"/>
          <w:sz w:val="32"/>
          <w:szCs w:val="32"/>
        </w:rPr>
        <w:t>资产评估行业发展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发挥了重要作用。但随着资产评估法影响的进一步扩大，行业发展格局发生了较大变化，出现了一系列新情况、新问题，行业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协会自律监督作为财会监督的重要组成部分，面临着更高的要求和更重的责任。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t>《办法》已经不能适应行业发展和工作需要，亟待修订。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二、修订过程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中评协根据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《办法》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执行过程中遇到的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实际问题，</w:t>
      </w:r>
      <w:r>
        <w:rPr>
          <w:rFonts w:ascii="仿宋_GB2312" w:hAnsi="仿宋_GB2312" w:eastAsia="仿宋_GB2312" w:cs="仿宋_GB2312"/>
          <w:sz w:val="32"/>
          <w:szCs w:val="32"/>
        </w:rPr>
        <w:t>经过</w:t>
      </w:r>
      <w:r>
        <w:rPr>
          <w:rFonts w:hint="eastAsia" w:ascii="仿宋_GB2312" w:hAnsi="仿宋_GB2312" w:eastAsia="仿宋_GB2312" w:cs="仿宋_GB2312"/>
          <w:sz w:val="32"/>
          <w:szCs w:val="32"/>
        </w:rPr>
        <w:t>内部研讨形成了修订初稿。在向部分</w:t>
      </w:r>
      <w:r>
        <w:rPr>
          <w:rFonts w:ascii="仿宋_GB2312" w:hAnsi="仿宋" w:eastAsia="仿宋_GB2312" w:cs="宋体"/>
          <w:bCs/>
          <w:sz w:val="32"/>
          <w:szCs w:val="32"/>
        </w:rPr>
        <w:t>省、自治区、直辖市、计划单列市资产评估协会（以下简称地方协会）</w:t>
      </w:r>
      <w:r>
        <w:rPr>
          <w:rFonts w:hint="eastAsia" w:ascii="仿宋_GB2312" w:hAnsi="仿宋_GB2312" w:eastAsia="仿宋_GB2312" w:cs="仿宋_GB2312"/>
          <w:sz w:val="32"/>
          <w:szCs w:val="32"/>
        </w:rPr>
        <w:t>和资产评估机构征求意见后，进一步修改形成了《征求意见稿》。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三、基本框架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《征求意见稿》分为总则、会员信用档案的建立、会员信用档案的管理、违规责任和附则共五章31条，具体内容如下：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（一）第一章“总则”。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共6条，主要包括制定依据、</w:t>
      </w:r>
      <w:r>
        <w:rPr>
          <w:rFonts w:ascii="仿宋_GB2312" w:hAnsi="仿宋" w:eastAsia="仿宋_GB2312" w:cs="宋体"/>
          <w:bCs/>
          <w:sz w:val="32"/>
          <w:szCs w:val="32"/>
        </w:rPr>
        <w:t>会员信用档案的</w:t>
      </w:r>
      <w:r>
        <w:rPr>
          <w:rFonts w:hint="eastAsia" w:ascii="仿宋_GB2312" w:hAnsi="仿宋_GB2312" w:eastAsia="仿宋_GB2312" w:cs="仿宋_GB2312"/>
          <w:sz w:val="32"/>
          <w:szCs w:val="32"/>
        </w:rPr>
        <w:t>定义、</w:t>
      </w:r>
      <w:r>
        <w:rPr>
          <w:rFonts w:hint="eastAsia" w:ascii="仿宋_GB2312" w:hAnsi="仿宋" w:eastAsia="仿宋_GB2312" w:cs="宋体"/>
          <w:bCs/>
          <w:sz w:val="32"/>
          <w:szCs w:val="32"/>
        </w:rPr>
        <w:t>适用范围</w:t>
      </w:r>
      <w:r>
        <w:rPr>
          <w:rFonts w:hint="eastAsia" w:ascii="仿宋_GB2312" w:hAnsi="仿宋_GB2312" w:eastAsia="仿宋_GB2312" w:cs="仿宋_GB2312"/>
          <w:sz w:val="32"/>
          <w:szCs w:val="32"/>
        </w:rPr>
        <w:t>、管理原则、管理分工等内容。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（二）第二章“会员信用档案的建立”。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共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6条，主要包括</w:t>
      </w:r>
      <w:r>
        <w:rPr>
          <w:rFonts w:ascii="仿宋_GB2312" w:hAnsi="仿宋" w:eastAsia="仿宋_GB2312" w:cs="宋体"/>
          <w:bCs/>
          <w:sz w:val="32"/>
          <w:szCs w:val="32"/>
        </w:rPr>
        <w:t>会员信用档案记录的</w:t>
      </w:r>
      <w:r>
        <w:rPr>
          <w:rFonts w:hint="eastAsia" w:ascii="仿宋_GB2312" w:hAnsi="仿宋" w:eastAsia="仿宋_GB2312" w:cs="宋体"/>
          <w:bCs/>
          <w:sz w:val="32"/>
          <w:szCs w:val="32"/>
        </w:rPr>
        <w:t>会员</w:t>
      </w:r>
      <w:r>
        <w:rPr>
          <w:rFonts w:ascii="仿宋_GB2312" w:hAnsi="仿宋" w:eastAsia="仿宋_GB2312" w:cs="宋体"/>
          <w:bCs/>
          <w:sz w:val="32"/>
          <w:szCs w:val="32"/>
        </w:rPr>
        <w:t>信用信息的定义</w:t>
      </w:r>
      <w:r>
        <w:rPr>
          <w:rFonts w:hint="eastAsia" w:ascii="仿宋_GB2312" w:hAnsi="仿宋" w:eastAsia="仿宋_GB2312" w:cs="宋体"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分类、获取渠道、依据、录入程序、群众监督、更正程序等内容。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（三）第三章“会员信用档案的管理”。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共5条，主要包括</w:t>
      </w:r>
      <w:r>
        <w:rPr>
          <w:rFonts w:ascii="仿宋_GB2312" w:hAnsi="仿宋" w:eastAsia="仿宋_GB2312" w:cs="宋体"/>
          <w:bCs/>
          <w:sz w:val="32"/>
          <w:szCs w:val="32"/>
        </w:rPr>
        <w:t>会员信用档案</w:t>
      </w:r>
      <w:r>
        <w:rPr>
          <w:rFonts w:hint="eastAsia" w:ascii="仿宋_GB2312" w:hAnsi="仿宋" w:eastAsia="仿宋_GB2312" w:cs="宋体"/>
          <w:bCs/>
          <w:sz w:val="32"/>
          <w:szCs w:val="32"/>
        </w:rPr>
        <w:t>的公开、查询，以及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出具</w:t>
      </w:r>
      <w:r>
        <w:rPr>
          <w:rFonts w:ascii="仿宋_GB2312" w:hAnsi="仿宋" w:eastAsia="仿宋_GB2312" w:cs="宋体"/>
          <w:bCs/>
          <w:sz w:val="32"/>
          <w:szCs w:val="32"/>
        </w:rPr>
        <w:t>诚信证明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等内容。</w:t>
      </w:r>
    </w:p>
    <w:p>
      <w:pPr>
        <w:spacing w:line="58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（四）第四章“违规责任”。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共2条，主要包括</w:t>
      </w:r>
      <w:r>
        <w:rPr>
          <w:rFonts w:ascii="仿宋_GB2312" w:hAnsi="仿宋" w:eastAsia="仿宋_GB2312" w:cs="宋体"/>
          <w:bCs/>
          <w:sz w:val="32"/>
          <w:szCs w:val="32"/>
        </w:rPr>
        <w:t>会员</w:t>
      </w:r>
      <w:r>
        <w:rPr>
          <w:rFonts w:hint="eastAsia" w:ascii="仿宋_GB2312" w:hAnsi="仿宋" w:eastAsia="仿宋_GB2312" w:cs="宋体"/>
          <w:bCs/>
          <w:sz w:val="32"/>
          <w:szCs w:val="32"/>
        </w:rPr>
        <w:t>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" w:eastAsia="仿宋_GB2312" w:cs="宋体"/>
          <w:bCs/>
          <w:sz w:val="32"/>
          <w:szCs w:val="32"/>
        </w:rPr>
        <w:t>工作人员责任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等内容。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（五）第五章“附则”。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共2条，主要包括解释权、施行时间等内容。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四、主要变化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《征求意见稿》充分考虑制度的连续性，认真落实</w:t>
      </w:r>
      <w:r>
        <w:rPr>
          <w:rFonts w:hint="eastAsia" w:ascii="仿宋_GB2312" w:hAnsi="Calibri" w:eastAsia="仿宋_GB2312" w:cs="Times New Roman"/>
          <w:sz w:val="32"/>
          <w:szCs w:val="32"/>
        </w:rPr>
        <w:t>加强财会监督工作的意见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，根据评估行业发展的新要求，对以下内容进行了完善和调整：</w:t>
      </w:r>
    </w:p>
    <w:p>
      <w:pPr>
        <w:spacing w:line="580" w:lineRule="exact"/>
        <w:ind w:firstLine="640" w:firstLineChars="200"/>
        <w:rPr>
          <w:rFonts w:ascii="仿宋_GB2312" w:hAnsi="仿宋_GB2312" w:eastAsia="楷体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ascii="楷体_GB2312" w:hAnsi="楷体_GB2312" w:eastAsia="楷体_GB2312" w:cs="楷体_GB2312"/>
          <w:sz w:val="32"/>
          <w:szCs w:val="32"/>
        </w:rPr>
        <w:t>增加</w:t>
      </w:r>
      <w:r>
        <w:rPr>
          <w:rFonts w:hint="eastAsia" w:ascii="楷体_GB2312" w:hAnsi="楷体_GB2312" w:eastAsia="楷体_GB2312" w:cs="楷体_GB2312"/>
          <w:sz w:val="32"/>
          <w:szCs w:val="32"/>
        </w:rPr>
        <w:t>了会员信用信息的种类。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更加全面反映会员的信用状况，《征求意见稿》参照律师等行业的规定，在原会员信用信息种类的基础上，增加了奖励信息和社会责任信息。奖励信息是指会员受到省级以上单位、组织或机关，以及中评协和地方协会的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表彰、奖励情况。社会责任信息是指会员担任社会职务、参与行业事务、参与慈善公益活动、缴纳社保、纳税等情况。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会员可以自愿申报奖励信息和社会责任信息。</w:t>
      </w:r>
    </w:p>
    <w:p>
      <w:pPr>
        <w:spacing w:line="58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（二）建立群众监督渠道。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《意见》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提出要畅通群众监督渠道，《征求意见稿》在会员自行申报和协会收集的基础上，增加了群众</w:t>
      </w:r>
      <w:r>
        <w:rPr>
          <w:rFonts w:ascii="仿宋_GB2312" w:hAnsi="仿宋_GB2312" w:eastAsia="仿宋_GB2312" w:cs="仿宋_GB2312"/>
          <w:sz w:val="32"/>
          <w:szCs w:val="32"/>
        </w:rPr>
        <w:t>监督</w:t>
      </w:r>
      <w:r>
        <w:rPr>
          <w:rFonts w:hint="eastAsia" w:ascii="仿宋_GB2312" w:hAnsi="仿宋_GB2312" w:eastAsia="仿宋_GB2312" w:cs="仿宋_GB2312"/>
          <w:sz w:val="32"/>
          <w:szCs w:val="32"/>
        </w:rPr>
        <w:t>渠道。群众可以通过公开端口反映会员的信用信息线索，地方协会将情况属实的信用信息录入会员信用档案。</w:t>
      </w:r>
    </w:p>
    <w:p>
      <w:pPr>
        <w:spacing w:line="58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（三）细化信用档案的管理。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为适应工作实际情况，《征求意见稿》明确会员信用信息所对应的决定或行为经法定程序撤销或变更的，会员可以申请更正。</w:t>
      </w:r>
    </w:p>
    <w:p>
      <w:pPr>
        <w:widowControl/>
        <w:jc w:val="left"/>
        <w:rPr>
          <w:rFonts w:ascii="Calibri" w:hAnsi="Calibri" w:eastAsia="仿宋_GB2312" w:cs="Times New Roman"/>
          <w:sz w:val="32"/>
          <w:szCs w:val="22"/>
        </w:rPr>
      </w:pPr>
    </w:p>
    <w:p/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2098" w:right="1474" w:bottom="1588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both"/>
      <w:rPr>
        <w:rFonts w:ascii="仿宋_GB2312" w:hAnsi="Calibri" w:eastAsia="仿宋_GB2312" w:cs="Times New Roman"/>
        <w:kern w:val="2"/>
        <w:sz w:val="24"/>
        <w:szCs w:val="24"/>
        <w:lang w:val="en-US" w:eastAsia="zh-CN" w:bidi="ar-SA"/>
      </w:rPr>
    </w:pPr>
    <w:r>
      <w:rPr>
        <w:rFonts w:ascii="Calibri" w:hAnsi="Calibri" w:eastAsia="仿宋_GB2312" w:cs="Times New Roman"/>
        <w:kern w:val="2"/>
        <w:sz w:val="24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4725670</wp:posOffset>
              </wp:positionH>
              <wp:positionV relativeFrom="paragraph">
                <wp:posOffset>-156845</wp:posOffset>
              </wp:positionV>
              <wp:extent cx="1132205" cy="11385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1888" cy="113887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2.1pt;margin-top:-12.35pt;height:89.65pt;width:89.15pt;mso-position-horizontal-relative:margin;z-index:251660288;mso-width-relative:page;mso-height-relative:page;" filled="f" stroked="f" coordsize="21600,21600" o:gfxdata="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h+nVQ2gAAAAsBAAAPAAAAAAAAAAEAIAAAACIAAABkcnMvZG93&#10;bnJldi54bWxQSwECFAAUAAAACACHTuJA1TfYaTcCAABlBAAADgAAAAAAAAABACAAAAAp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仿宋_GB2312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both"/>
      <w:rPr>
        <w:rFonts w:ascii="仿宋_GB2312" w:hAnsi="Calibri" w:eastAsia="仿宋_GB2312" w:cs="Times New Roman"/>
        <w:kern w:val="2"/>
        <w:sz w:val="24"/>
        <w:szCs w:val="24"/>
        <w:lang w:val="en-US" w:eastAsia="zh-CN" w:bidi="ar-SA"/>
      </w:rPr>
    </w:pPr>
    <w:r>
      <w:rPr>
        <w:rFonts w:ascii="Calibri" w:hAnsi="Calibri" w:eastAsia="仿宋_GB2312" w:cs="Times New Roman"/>
        <w:kern w:val="2"/>
        <w:sz w:val="24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205740</wp:posOffset>
              </wp:positionH>
              <wp:positionV relativeFrom="paragraph">
                <wp:posOffset>-199390</wp:posOffset>
              </wp:positionV>
              <wp:extent cx="847725" cy="91376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7725" cy="91344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6.2pt;margin-top:-15.7pt;height:71.95pt;width:66.75pt;mso-position-horizontal-relative:margin;z-index:251659264;mso-width-relative:page;mso-height-relative:page;" filled="f" stroked="f" coordsize="21600,21600" o:gfxdata="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Iv4AKdkAAAAKAQAADwAAAAAAAAABACAAAAAiAAAAZHJzL2Rv&#10;d25yZXYueG1sUEsBAhQAFAAAAAgAh07iQFfFoYw5AgAAYwQAAA4AAAAAAAAAAQAgAAAAKA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仿宋_GB2312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仿宋_GB2312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rPr>
        <w:rFonts w:ascii="Calibri" w:hAnsi="Calibri" w:eastAsia="仿宋_GB2312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NGZlZDBmN2U5MTIwOWVlNjNlYWEzNzNlMTBhYTQifQ=="/>
  </w:docVars>
  <w:rsids>
    <w:rsidRoot w:val="67DC5486"/>
    <w:rsid w:val="67DC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2023-09-20T07:36:00Z</dcterms:created>
  <dc:creator>WPS_1527913544</dc:creator>
  <cp:lastModifiedBy>WPS_1527913544</cp:lastModifiedBy>
  <dcterms:modified xsi:type="dcterms:W3CDTF">2023-09-20T07:36:45Z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51A4EF602B8640E9940DB42290331E7E_11</vt:lpwstr>
  </property>
</Properties>
</file>